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BFA" w:rsidRPr="00DE6BFA" w:rsidRDefault="006A6510" w:rsidP="00D13DD2">
      <w:pPr>
        <w:tabs>
          <w:tab w:val="center" w:pos="4536"/>
        </w:tabs>
      </w:pPr>
      <w:r>
        <w:rPr>
          <w:noProof/>
          <w:lang w:eastAsia="nl-NL"/>
        </w:rPr>
        <mc:AlternateContent>
          <mc:Choice Requires="wps">
            <w:drawing>
              <wp:anchor distT="45720" distB="45720" distL="114300" distR="114300" simplePos="0" relativeHeight="251657216" behindDoc="0" locked="0" layoutInCell="1" allowOverlap="1">
                <wp:simplePos x="0" y="0"/>
                <wp:positionH relativeFrom="margin">
                  <wp:posOffset>262328</wp:posOffset>
                </wp:positionH>
                <wp:positionV relativeFrom="paragraph">
                  <wp:posOffset>74951</wp:posOffset>
                </wp:positionV>
                <wp:extent cx="2360930" cy="8867775"/>
                <wp:effectExtent l="0" t="0" r="1968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67775"/>
                        </a:xfrm>
                        <a:prstGeom prst="rect">
                          <a:avLst/>
                        </a:prstGeom>
                        <a:solidFill>
                          <a:srgbClr val="FFFFFF"/>
                        </a:solidFill>
                        <a:ln w="9525">
                          <a:solidFill>
                            <a:srgbClr val="000000"/>
                          </a:solidFill>
                          <a:miter lim="800000"/>
                          <a:headEnd/>
                          <a:tailEnd/>
                        </a:ln>
                      </wps:spPr>
                      <wps:txbx>
                        <w:txbxContent>
                          <w:p w:rsidR="00D13DD2" w:rsidRDefault="00D13DD2">
                            <w:pPr>
                              <w:rPr>
                                <w:rFonts w:ascii="Gibson Light" w:hAnsi="Gibson Light"/>
                              </w:rPr>
                            </w:pPr>
                            <w:r w:rsidRPr="00D13DD2">
                              <w:rPr>
                                <w:rFonts w:ascii="Gibson Light" w:hAnsi="Gibson Light"/>
                              </w:rPr>
                              <w:t>Aantal karakters: 700 - 1000</w:t>
                            </w:r>
                          </w:p>
                          <w:p w:rsidR="00D13DD2" w:rsidRDefault="00D13DD2">
                            <w:pPr>
                              <w:rPr>
                                <w:rFonts w:ascii="Gibson Light" w:hAnsi="Gibson Light"/>
                              </w:rPr>
                            </w:pPr>
                            <w:r>
                              <w:rPr>
                                <w:rFonts w:ascii="Gibson Light" w:hAnsi="Gibson Light"/>
                              </w:rPr>
                              <w:t>Lettertype: Gibson Light</w:t>
                            </w:r>
                          </w:p>
                          <w:p w:rsidR="00D81557" w:rsidRDefault="009D1AC4">
                            <w:pPr>
                              <w:rPr>
                                <w:rFonts w:ascii="Gibson Light" w:hAnsi="Gibson Light"/>
                              </w:rPr>
                            </w:pPr>
                            <w:proofErr w:type="spellStart"/>
                            <w:r>
                              <w:rPr>
                                <w:rFonts w:ascii="Gibson Light" w:hAnsi="Gibson Light"/>
                              </w:rPr>
                              <w:t>Geintegreerd</w:t>
                            </w:r>
                            <w:proofErr w:type="spellEnd"/>
                            <w:r>
                              <w:rPr>
                                <w:rFonts w:ascii="Gibson Light" w:hAnsi="Gibson Light"/>
                              </w:rPr>
                              <w:t xml:space="preserve"> behandelen van dubbele diagnose</w:t>
                            </w:r>
                          </w:p>
                          <w:p w:rsidR="00D81557" w:rsidRDefault="00D81557">
                            <w:pPr>
                              <w:rPr>
                                <w:rFonts w:ascii="Gibson Light" w:hAnsi="Gibson Light"/>
                              </w:rPr>
                            </w:pPr>
                          </w:p>
                          <w:p w:rsidR="00D81557" w:rsidRDefault="00D81557">
                            <w:pPr>
                              <w:rPr>
                                <w:rFonts w:ascii="Gibson Light" w:hAnsi="Gibson Light"/>
                              </w:rPr>
                            </w:pPr>
                            <w:r>
                              <w:rPr>
                                <w:rFonts w:ascii="Gibson Light" w:hAnsi="Gibson Light"/>
                              </w:rPr>
                              <w:t>16:30</w:t>
                            </w:r>
                          </w:p>
                          <w:p w:rsidR="009D1AC4" w:rsidRPr="009D1AC4" w:rsidRDefault="009D1AC4" w:rsidP="009D1AC4">
                            <w:pPr>
                              <w:pStyle w:val="normaal"/>
                              <w:rPr>
                                <w:rFonts w:asciiTheme="minorHAnsi" w:hAnsiTheme="minorHAnsi"/>
                                <w:szCs w:val="22"/>
                              </w:rPr>
                            </w:pPr>
                            <w:r w:rsidRPr="009D1AC4">
                              <w:rPr>
                                <w:rFonts w:asciiTheme="minorHAnsi" w:hAnsiTheme="minorHAnsi"/>
                                <w:szCs w:val="22"/>
                              </w:rPr>
                              <w:t>Bij patiënten met een dubbele diagnose is er sprake van zowel een psychiatrische stoornis als van een verslavingsprobleem. Dit lijkt uitzonderlijk, maar dat is het niet.</w:t>
                            </w:r>
                          </w:p>
                          <w:p w:rsidR="00D81557" w:rsidRPr="009D1AC4" w:rsidRDefault="009D1AC4" w:rsidP="009D1AC4">
                            <w:r w:rsidRPr="009D1AC4">
                              <w:t xml:space="preserve">In het </w:t>
                            </w:r>
                            <w:r w:rsidRPr="009D1AC4">
                              <w:rPr>
                                <w:i/>
                              </w:rPr>
                              <w:t>Handboek dubbele diagnose</w:t>
                            </w:r>
                            <w:r w:rsidRPr="009D1AC4">
                              <w:rPr>
                                <w:rStyle w:val="literatuurnoot"/>
                              </w:rPr>
                              <w:t xml:space="preserve"> </w:t>
                            </w:r>
                            <w:r w:rsidRPr="009D1AC4">
                              <w:t xml:space="preserve">bespreken Dom en Schoevers uitgebreid de epidemiologie en definiëring van het begrip </w:t>
                            </w:r>
                            <w:proofErr w:type="spellStart"/>
                            <w:r w:rsidRPr="009D1AC4">
                              <w:t>comorbiditeit</w:t>
                            </w:r>
                            <w:proofErr w:type="spellEnd"/>
                            <w:r w:rsidRPr="009D1AC4">
                              <w:t xml:space="preserve">, gericht op verslavingsproblemen en psychiatrische stoornissen. Het werken met patiënten met dubbele problematiek heeft ons geleerd dat er wel degelijk sprake is van samenhang tussen stoornissen en dat dit vraagt om een </w:t>
                            </w:r>
                            <w:proofErr w:type="spellStart"/>
                            <w:r w:rsidRPr="009D1AC4">
                              <w:t>geintegreerde</w:t>
                            </w:r>
                            <w:proofErr w:type="spellEnd"/>
                            <w:r w:rsidRPr="009D1AC4">
                              <w:t xml:space="preserve"> behandeling</w:t>
                            </w:r>
                            <w:r>
                              <w:t xml:space="preserve">, </w:t>
                            </w:r>
                            <w:proofErr w:type="spellStart"/>
                            <w:r>
                              <w:t>Integrated</w:t>
                            </w:r>
                            <w:proofErr w:type="spellEnd"/>
                            <w:r>
                              <w:t xml:space="preserve"> Dual Diagnosis Treatment (IDDT)</w:t>
                            </w:r>
                          </w:p>
                          <w:p w:rsidR="00D13DD2" w:rsidRDefault="00D13DD2">
                            <w:pPr>
                              <w:rPr>
                                <w:rFonts w:ascii="Gibson Light" w:hAnsi="Gibson Light"/>
                              </w:rPr>
                            </w:pPr>
                          </w:p>
                          <w:p w:rsidR="00D81557" w:rsidRDefault="00D81557">
                            <w:pPr>
                              <w:rPr>
                                <w:rFonts w:ascii="Gibson Light" w:hAnsi="Gibson Light"/>
                              </w:rPr>
                            </w:pPr>
                            <w:r>
                              <w:rPr>
                                <w:rFonts w:ascii="Gibson Light" w:hAnsi="Gibson Light"/>
                              </w:rPr>
                              <w:t>17:20</w:t>
                            </w:r>
                          </w:p>
                          <w:p w:rsidR="00D81557" w:rsidRDefault="00D81557">
                            <w:pPr>
                              <w:rPr>
                                <w:rFonts w:ascii="Gibson Light" w:hAnsi="Gibson Light"/>
                              </w:rPr>
                            </w:pPr>
                            <w:r>
                              <w:rPr>
                                <w:rFonts w:ascii="Gibson Light" w:hAnsi="Gibson Light"/>
                              </w:rPr>
                              <w:t>Pauze</w:t>
                            </w:r>
                          </w:p>
                          <w:p w:rsidR="00D81557" w:rsidRDefault="00D81557">
                            <w:pPr>
                              <w:rPr>
                                <w:rFonts w:ascii="Gibson Light" w:hAnsi="Gibson Light"/>
                              </w:rPr>
                            </w:pPr>
                          </w:p>
                          <w:p w:rsidR="00D81557" w:rsidRDefault="00D81557">
                            <w:pPr>
                              <w:rPr>
                                <w:rFonts w:ascii="Gibson Light" w:hAnsi="Gibson Light"/>
                              </w:rPr>
                            </w:pPr>
                            <w:r>
                              <w:rPr>
                                <w:rFonts w:ascii="Gibson Light" w:hAnsi="Gibson Light"/>
                              </w:rPr>
                              <w:t xml:space="preserve">17:35 </w:t>
                            </w:r>
                          </w:p>
                          <w:p w:rsidR="00D81557" w:rsidRPr="009D1AC4" w:rsidRDefault="009D1AC4">
                            <w:r w:rsidRPr="009D1AC4">
                              <w:t xml:space="preserve">De principes van IDDT worden besproken en indien de tijd het toelaat wordt er ingegaan op </w:t>
                            </w:r>
                            <w:proofErr w:type="spellStart"/>
                            <w:r w:rsidRPr="009D1AC4">
                              <w:t>casuistiek</w:t>
                            </w:r>
                            <w:proofErr w:type="spellEnd"/>
                            <w:r w:rsidRPr="009D1AC4">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0.65pt;margin-top:5.9pt;width:185.9pt;height:698.25pt;z-index:2516572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">
                <v:textbox>
                  <w:txbxContent>
                    <w:p w:rsidR="00D13DD2" w:rsidRDefault="00D13DD2">
                      <w:pPr>
                        <w:rPr>
                          <w:rFonts w:ascii="Gibson Light" w:hAnsi="Gibson Light"/>
                        </w:rPr>
                      </w:pPr>
                      <w:r w:rsidRPr="00D13DD2">
                        <w:rPr>
                          <w:rFonts w:ascii="Gibson Light" w:hAnsi="Gibson Light"/>
                        </w:rPr>
                        <w:t>Aantal karakters: 700 - 1000</w:t>
                      </w:r>
                    </w:p>
                    <w:p w:rsidR="00D13DD2" w:rsidRDefault="00D13DD2">
                      <w:pPr>
                        <w:rPr>
                          <w:rFonts w:ascii="Gibson Light" w:hAnsi="Gibson Light"/>
                        </w:rPr>
                      </w:pPr>
                      <w:r>
                        <w:rPr>
                          <w:rFonts w:ascii="Gibson Light" w:hAnsi="Gibson Light"/>
                        </w:rPr>
                        <w:t>Lettertype: Gibson Light</w:t>
                      </w:r>
                    </w:p>
                    <w:p w:rsidR="00D81557" w:rsidRDefault="009D1AC4">
                      <w:pPr>
                        <w:rPr>
                          <w:rFonts w:ascii="Gibson Light" w:hAnsi="Gibson Light"/>
                        </w:rPr>
                      </w:pPr>
                      <w:proofErr w:type="spellStart"/>
                      <w:r>
                        <w:rPr>
                          <w:rFonts w:ascii="Gibson Light" w:hAnsi="Gibson Light"/>
                        </w:rPr>
                        <w:t>Geintegreerd</w:t>
                      </w:r>
                      <w:proofErr w:type="spellEnd"/>
                      <w:r>
                        <w:rPr>
                          <w:rFonts w:ascii="Gibson Light" w:hAnsi="Gibson Light"/>
                        </w:rPr>
                        <w:t xml:space="preserve"> behandelen van dubbele diagnose</w:t>
                      </w:r>
                    </w:p>
                    <w:p w:rsidR="00D81557" w:rsidRDefault="00D81557">
                      <w:pPr>
                        <w:rPr>
                          <w:rFonts w:ascii="Gibson Light" w:hAnsi="Gibson Light"/>
                        </w:rPr>
                      </w:pPr>
                    </w:p>
                    <w:p w:rsidR="00D81557" w:rsidRDefault="00D81557">
                      <w:pPr>
                        <w:rPr>
                          <w:rFonts w:ascii="Gibson Light" w:hAnsi="Gibson Light"/>
                        </w:rPr>
                      </w:pPr>
                      <w:r>
                        <w:rPr>
                          <w:rFonts w:ascii="Gibson Light" w:hAnsi="Gibson Light"/>
                        </w:rPr>
                        <w:t>16:30</w:t>
                      </w:r>
                    </w:p>
                    <w:p w:rsidR="009D1AC4" w:rsidRPr="009D1AC4" w:rsidRDefault="009D1AC4" w:rsidP="009D1AC4">
                      <w:pPr>
                        <w:pStyle w:val="normaal"/>
                        <w:rPr>
                          <w:rFonts w:asciiTheme="minorHAnsi" w:hAnsiTheme="minorHAnsi"/>
                          <w:szCs w:val="22"/>
                        </w:rPr>
                      </w:pPr>
                      <w:r w:rsidRPr="009D1AC4">
                        <w:rPr>
                          <w:rFonts w:asciiTheme="minorHAnsi" w:hAnsiTheme="minorHAnsi"/>
                          <w:szCs w:val="22"/>
                        </w:rPr>
                        <w:t>Bij patiënten met een dubbele diagnose is er sprake van zowel een psychiatrische stoornis als van een verslavingsprobleem. Dit lijkt uitzonderlijk, maar dat is het niet.</w:t>
                      </w:r>
                    </w:p>
                    <w:p w:rsidR="00D81557" w:rsidRPr="009D1AC4" w:rsidRDefault="009D1AC4" w:rsidP="009D1AC4">
                      <w:r w:rsidRPr="009D1AC4">
                        <w:t xml:space="preserve">In het </w:t>
                      </w:r>
                      <w:r w:rsidRPr="009D1AC4">
                        <w:rPr>
                          <w:i/>
                        </w:rPr>
                        <w:t>Handboek dubbele diagnose</w:t>
                      </w:r>
                      <w:r w:rsidRPr="009D1AC4">
                        <w:rPr>
                          <w:rStyle w:val="literatuurnoot"/>
                        </w:rPr>
                        <w:t xml:space="preserve"> </w:t>
                      </w:r>
                      <w:r w:rsidRPr="009D1AC4">
                        <w:t xml:space="preserve">bespreken Dom en Schoevers uitgebreid de epidemiologie en definiëring van het begrip </w:t>
                      </w:r>
                      <w:proofErr w:type="spellStart"/>
                      <w:r w:rsidRPr="009D1AC4">
                        <w:t>comorbiditeit</w:t>
                      </w:r>
                      <w:proofErr w:type="spellEnd"/>
                      <w:r w:rsidRPr="009D1AC4">
                        <w:t xml:space="preserve">, gericht op verslavingsproblemen en psychiatrische stoornissen. Het werken met patiënten met dubbele problematiek heeft ons geleerd dat er wel degelijk sprake is van samenhang tussen stoornissen en dat dit vraagt om een </w:t>
                      </w:r>
                      <w:proofErr w:type="spellStart"/>
                      <w:r w:rsidRPr="009D1AC4">
                        <w:t>geintegreerde</w:t>
                      </w:r>
                      <w:proofErr w:type="spellEnd"/>
                      <w:r w:rsidRPr="009D1AC4">
                        <w:t xml:space="preserve"> behandeling</w:t>
                      </w:r>
                      <w:r>
                        <w:t xml:space="preserve">, </w:t>
                      </w:r>
                      <w:proofErr w:type="spellStart"/>
                      <w:r>
                        <w:t>Integrated</w:t>
                      </w:r>
                      <w:proofErr w:type="spellEnd"/>
                      <w:r>
                        <w:t xml:space="preserve"> Dual Diagnosis Treatment (IDDT)</w:t>
                      </w:r>
                    </w:p>
                    <w:p w:rsidR="00D13DD2" w:rsidRDefault="00D13DD2">
                      <w:pPr>
                        <w:rPr>
                          <w:rFonts w:ascii="Gibson Light" w:hAnsi="Gibson Light"/>
                        </w:rPr>
                      </w:pPr>
                    </w:p>
                    <w:p w:rsidR="00D81557" w:rsidRDefault="00D81557">
                      <w:pPr>
                        <w:rPr>
                          <w:rFonts w:ascii="Gibson Light" w:hAnsi="Gibson Light"/>
                        </w:rPr>
                      </w:pPr>
                      <w:r>
                        <w:rPr>
                          <w:rFonts w:ascii="Gibson Light" w:hAnsi="Gibson Light"/>
                        </w:rPr>
                        <w:t>17:20</w:t>
                      </w:r>
                    </w:p>
                    <w:p w:rsidR="00D81557" w:rsidRDefault="00D81557">
                      <w:pPr>
                        <w:rPr>
                          <w:rFonts w:ascii="Gibson Light" w:hAnsi="Gibson Light"/>
                        </w:rPr>
                      </w:pPr>
                      <w:r>
                        <w:rPr>
                          <w:rFonts w:ascii="Gibson Light" w:hAnsi="Gibson Light"/>
                        </w:rPr>
                        <w:t>Pauze</w:t>
                      </w:r>
                    </w:p>
                    <w:p w:rsidR="00D81557" w:rsidRDefault="00D81557">
                      <w:pPr>
                        <w:rPr>
                          <w:rFonts w:ascii="Gibson Light" w:hAnsi="Gibson Light"/>
                        </w:rPr>
                      </w:pPr>
                    </w:p>
                    <w:p w:rsidR="00D81557" w:rsidRDefault="00D81557">
                      <w:pPr>
                        <w:rPr>
                          <w:rFonts w:ascii="Gibson Light" w:hAnsi="Gibson Light"/>
                        </w:rPr>
                      </w:pPr>
                      <w:r>
                        <w:rPr>
                          <w:rFonts w:ascii="Gibson Light" w:hAnsi="Gibson Light"/>
                        </w:rPr>
                        <w:t xml:space="preserve">17:35 </w:t>
                      </w:r>
                    </w:p>
                    <w:p w:rsidR="00D81557" w:rsidRPr="009D1AC4" w:rsidRDefault="009D1AC4">
                      <w:r w:rsidRPr="009D1AC4">
                        <w:t xml:space="preserve">De principes van IDDT worden besproken en indien de tijd het toelaat wordt er ingegaan op </w:t>
                      </w:r>
                      <w:proofErr w:type="spellStart"/>
                      <w:r w:rsidRPr="009D1AC4">
                        <w:t>casuistiek</w:t>
                      </w:r>
                      <w:proofErr w:type="spellEnd"/>
                      <w:r w:rsidRPr="009D1AC4">
                        <w:t xml:space="preserve">. </w:t>
                      </w:r>
                    </w:p>
                  </w:txbxContent>
                </v:textbox>
                <w10:wrap type="square" anchorx="margin"/>
              </v:shape>
            </w:pict>
          </mc:Fallback>
        </mc:AlternateContent>
      </w:r>
      <w:r w:rsidR="00D13DD2">
        <w:rPr>
          <w:noProof/>
          <w:lang w:eastAsia="nl-NL"/>
        </w:rPr>
        <mc:AlternateContent>
          <mc:Choice Requires="wps">
            <w:drawing>
              <wp:anchor distT="45720" distB="45720" distL="114300" distR="114300" simplePos="0" relativeHeight="251659264" behindDoc="0" locked="0" layoutInCell="1" allowOverlap="1" wp14:anchorId="67F9A875" wp14:editId="6FC08AB6">
                <wp:simplePos x="0" y="0"/>
                <wp:positionH relativeFrom="margin">
                  <wp:posOffset>3467100</wp:posOffset>
                </wp:positionH>
                <wp:positionV relativeFrom="paragraph">
                  <wp:posOffset>0</wp:posOffset>
                </wp:positionV>
                <wp:extent cx="2360930" cy="8867775"/>
                <wp:effectExtent l="0" t="0" r="19685"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67775"/>
                        </a:xfrm>
                        <a:prstGeom prst="rect">
                          <a:avLst/>
                        </a:prstGeom>
                        <a:solidFill>
                          <a:srgbClr val="FFFFFF"/>
                        </a:solidFill>
                        <a:ln w="9525">
                          <a:solidFill>
                            <a:srgbClr val="000000"/>
                          </a:solidFill>
                          <a:miter lim="800000"/>
                          <a:headEnd/>
                          <a:tailEnd/>
                        </a:ln>
                      </wps:spPr>
                      <wps:txbx>
                        <w:txbxContent>
                          <w:p w:rsidR="00D13DD2" w:rsidRPr="00D81557" w:rsidRDefault="00D13DD2" w:rsidP="00D13DD2">
                            <w:pPr>
                              <w:rPr>
                                <w:rFonts w:ascii="Gibson Light" w:hAnsi="Gibson Light"/>
                              </w:rPr>
                            </w:pPr>
                            <w:r w:rsidRPr="00D81557">
                              <w:rPr>
                                <w:rFonts w:ascii="Gibson Light" w:hAnsi="Gibson Light"/>
                              </w:rPr>
                              <w:t>Aantal karakters: 600 - 800</w:t>
                            </w:r>
                          </w:p>
                          <w:p w:rsidR="00D13DD2" w:rsidRPr="00D81557" w:rsidRDefault="00D13DD2" w:rsidP="00D13DD2">
                            <w:pPr>
                              <w:rPr>
                                <w:rFonts w:ascii="Gibson Light" w:hAnsi="Gibson Light"/>
                              </w:rPr>
                            </w:pPr>
                            <w:r w:rsidRPr="00D81557">
                              <w:rPr>
                                <w:rFonts w:ascii="Gibson Light" w:hAnsi="Gibson Light"/>
                              </w:rPr>
                              <w:t>Lettertype: Gibson Light</w:t>
                            </w:r>
                          </w:p>
                          <w:p w:rsidR="009D1AC4" w:rsidRDefault="009D1AC4" w:rsidP="009D1AC4">
                            <w:r w:rsidRPr="005F2460">
                              <w:rPr>
                                <w:i/>
                              </w:rPr>
                              <w:t>Annette Bonebakker</w:t>
                            </w:r>
                            <w:r>
                              <w:t xml:space="preserve"> is klinisch neuropsycholoog en boegbeeld bij het Centrum voor Dubbele Problematiek (</w:t>
                            </w:r>
                            <w:proofErr w:type="spellStart"/>
                            <w:r w:rsidRPr="00B42F5D">
                              <w:rPr>
                                <w:smallCaps/>
                              </w:rPr>
                              <w:t>cdp</w:t>
                            </w:r>
                            <w:proofErr w:type="spellEnd"/>
                            <w:r>
                              <w:t xml:space="preserve">), TOP GZZ. Tevens is zij praktijkopleider voor de </w:t>
                            </w:r>
                            <w:proofErr w:type="spellStart"/>
                            <w:r w:rsidRPr="005F2460">
                              <w:rPr>
                                <w:smallCaps/>
                              </w:rPr>
                              <w:t>gz</w:t>
                            </w:r>
                            <w:proofErr w:type="spellEnd"/>
                            <w:r>
                              <w:t>- en KNP opleiding en geeft zij supervisie. Haar klinische werk bestaat uit psychodiagnostiek en behandeling van dubbele-diagnosepatiënten. Haar expertise is neuropsychologie en persoonlijkheidsonderzoek en zij doet wetenschappelijk onderzoek naar dubbele diagnose behandeling. Zij studeerde in 1989 af in de psychologische functieleer aan de Rijksuniversiteit Leiden. In 1994 promoveerde zij op onbewuste geheugenprocessen tijdens algehele anesthesie, Vakgroep Medische Psychologie, Erasmus Universiteit Rotterdam. Zij is sinds 2009 lid van de Commissie van Toezicht van Penitentiair Psychiatrisch Centrum Scheveningen.</w:t>
                            </w:r>
                          </w:p>
                          <w:p w:rsidR="00D81557" w:rsidRPr="00D81557" w:rsidRDefault="00D81557" w:rsidP="00D81557">
                            <w:pPr>
                              <w:pStyle w:val="Pa0"/>
                              <w:rPr>
                                <w:rStyle w:val="A3"/>
                                <w:rFonts w:ascii="Gibson Light" w:hAnsi="Gibson Light"/>
                                <w:bCs/>
                                <w:sz w:val="22"/>
                                <w:szCs w:val="22"/>
                              </w:rPr>
                            </w:pPr>
                          </w:p>
                          <w:p w:rsidR="00D81557" w:rsidRPr="00D81557" w:rsidRDefault="00D81557" w:rsidP="00D81557">
                            <w:pPr>
                              <w:pStyle w:val="Pa0"/>
                              <w:rPr>
                                <w:rFonts w:ascii="Gibson Light" w:hAnsi="Gibson Light" w:cs="Gibson"/>
                                <w:color w:val="000000"/>
                                <w:sz w:val="22"/>
                                <w:szCs w:val="22"/>
                              </w:rPr>
                            </w:pPr>
                            <w:r w:rsidRPr="00D81557">
                              <w:rPr>
                                <w:rStyle w:val="A3"/>
                                <w:rFonts w:ascii="Gibson Light" w:hAnsi="Gibson Light"/>
                                <w:b/>
                                <w:bCs/>
                                <w:sz w:val="22"/>
                                <w:szCs w:val="22"/>
                              </w:rPr>
                              <w:t>Accreditatie</w:t>
                            </w:r>
                          </w:p>
                          <w:p w:rsidR="00D81557" w:rsidRPr="00D81557" w:rsidRDefault="00D81557" w:rsidP="00D81557">
                            <w:pPr>
                              <w:pStyle w:val="Pa0"/>
                              <w:rPr>
                                <w:rFonts w:ascii="Gibson Light" w:hAnsi="Gibson Light" w:cs="Gibson"/>
                                <w:color w:val="000000"/>
                                <w:sz w:val="22"/>
                                <w:szCs w:val="22"/>
                              </w:rPr>
                            </w:pPr>
                            <w:r w:rsidRPr="00D81557">
                              <w:rPr>
                                <w:rStyle w:val="A3"/>
                                <w:rFonts w:ascii="Gibson Light" w:hAnsi="Gibson Light"/>
                                <w:sz w:val="22"/>
                                <w:szCs w:val="22"/>
                              </w:rPr>
                              <w:t xml:space="preserve">Voor het referaat is accreditatie aangevraagd bij VGZPT en de </w:t>
                            </w:r>
                            <w:proofErr w:type="spellStart"/>
                            <w:r w:rsidRPr="00D81557">
                              <w:rPr>
                                <w:rStyle w:val="A3"/>
                                <w:rFonts w:ascii="Gibson Light" w:hAnsi="Gibson Light"/>
                                <w:sz w:val="22"/>
                                <w:szCs w:val="22"/>
                              </w:rPr>
                              <w:t>NVvP</w:t>
                            </w:r>
                            <w:proofErr w:type="spellEnd"/>
                            <w:r w:rsidRPr="00D81557">
                              <w:rPr>
                                <w:rStyle w:val="A3"/>
                                <w:rFonts w:ascii="Gibson Light" w:hAnsi="Gibson Light"/>
                                <w:sz w:val="22"/>
                                <w:szCs w:val="22"/>
                              </w:rPr>
                              <w:t xml:space="preserve"> (maximaal 2 punten per referaat). Na afloop wordt u geacht een evaluatieformulier in te vullen en in te leveren. </w:t>
                            </w:r>
                          </w:p>
                          <w:p w:rsidR="00D81557" w:rsidRPr="00D81557" w:rsidRDefault="00D81557" w:rsidP="00D81557">
                            <w:pPr>
                              <w:pStyle w:val="Pa0"/>
                              <w:rPr>
                                <w:rFonts w:ascii="Gibson Light" w:hAnsi="Gibson Light" w:cs="Gibson"/>
                                <w:color w:val="000000"/>
                                <w:sz w:val="22"/>
                                <w:szCs w:val="22"/>
                              </w:rPr>
                            </w:pPr>
                            <w:r w:rsidRPr="00D81557">
                              <w:rPr>
                                <w:rStyle w:val="A3"/>
                                <w:rFonts w:ascii="Gibson Light" w:hAnsi="Gibson Light"/>
                                <w:b/>
                                <w:bCs/>
                                <w:sz w:val="22"/>
                                <w:szCs w:val="22"/>
                              </w:rPr>
                              <w:t>Aanmelding</w:t>
                            </w:r>
                          </w:p>
                          <w:p w:rsidR="00D81557" w:rsidRPr="00D81557" w:rsidRDefault="00D81557" w:rsidP="00D81557">
                            <w:pPr>
                              <w:pStyle w:val="Pa0"/>
                              <w:rPr>
                                <w:rFonts w:ascii="Gibson Light" w:hAnsi="Gibson Light" w:cs="Gibson"/>
                                <w:color w:val="000000"/>
                                <w:sz w:val="22"/>
                                <w:szCs w:val="22"/>
                              </w:rPr>
                            </w:pPr>
                            <w:r w:rsidRPr="00D81557">
                              <w:rPr>
                                <w:rStyle w:val="A3"/>
                                <w:rFonts w:ascii="Gibson Light" w:hAnsi="Gibson Light"/>
                                <w:sz w:val="22"/>
                                <w:szCs w:val="22"/>
                              </w:rPr>
                              <w:t>U kunt zich per e-mail aanmelden bij</w:t>
                            </w:r>
                          </w:p>
                          <w:p w:rsidR="00D81557" w:rsidRPr="00D81557" w:rsidRDefault="00D81557" w:rsidP="00D81557">
                            <w:pPr>
                              <w:pStyle w:val="Pa0"/>
                              <w:rPr>
                                <w:rFonts w:ascii="Gibson Light" w:hAnsi="Gibson Light" w:cs="Gibson"/>
                                <w:color w:val="000000"/>
                                <w:sz w:val="22"/>
                                <w:szCs w:val="22"/>
                              </w:rPr>
                            </w:pPr>
                            <w:r w:rsidRPr="00D81557">
                              <w:rPr>
                                <w:rStyle w:val="A3"/>
                                <w:rFonts w:ascii="Gibson Light" w:hAnsi="Gibson Light"/>
                                <w:sz w:val="22"/>
                                <w:szCs w:val="22"/>
                              </w:rPr>
                              <w:t xml:space="preserve">Frida van der </w:t>
                            </w:r>
                            <w:proofErr w:type="spellStart"/>
                            <w:r w:rsidRPr="00D81557">
                              <w:rPr>
                                <w:rStyle w:val="A3"/>
                                <w:rFonts w:ascii="Gibson Light" w:hAnsi="Gibson Light"/>
                                <w:sz w:val="22"/>
                                <w:szCs w:val="22"/>
                              </w:rPr>
                              <w:t>Veeken</w:t>
                            </w:r>
                            <w:proofErr w:type="spellEnd"/>
                            <w:r w:rsidRPr="00D81557">
                              <w:rPr>
                                <w:rStyle w:val="A3"/>
                                <w:rFonts w:ascii="Gibson Light" w:hAnsi="Gibson Light"/>
                                <w:sz w:val="22"/>
                                <w:szCs w:val="22"/>
                              </w:rPr>
                              <w:t xml:space="preserve">, FPC de </w:t>
                            </w:r>
                            <w:proofErr w:type="spellStart"/>
                            <w:r w:rsidRPr="00D81557">
                              <w:rPr>
                                <w:rStyle w:val="A3"/>
                                <w:rFonts w:ascii="Gibson Light" w:hAnsi="Gibson Light"/>
                                <w:sz w:val="22"/>
                                <w:szCs w:val="22"/>
                              </w:rPr>
                              <w:t>Kijvelanden</w:t>
                            </w:r>
                            <w:proofErr w:type="spellEnd"/>
                            <w:r w:rsidRPr="00D81557">
                              <w:rPr>
                                <w:rStyle w:val="A3"/>
                                <w:rFonts w:ascii="Gibson Light" w:hAnsi="Gibson Light"/>
                                <w:sz w:val="22"/>
                                <w:szCs w:val="22"/>
                              </w:rPr>
                              <w:t xml:space="preserve"> via e-mail: FivoorW&amp;Bi@fivoor.nl</w:t>
                            </w:r>
                          </w:p>
                          <w:p w:rsidR="00D81557" w:rsidRPr="00D81557" w:rsidRDefault="00D81557" w:rsidP="00D81557">
                            <w:pPr>
                              <w:pStyle w:val="Pa0"/>
                              <w:rPr>
                                <w:rFonts w:ascii="Gibson Light" w:hAnsi="Gibson Light" w:cs="Gibson"/>
                                <w:color w:val="000000"/>
                                <w:sz w:val="22"/>
                                <w:szCs w:val="22"/>
                              </w:rPr>
                            </w:pPr>
                            <w:r w:rsidRPr="00D81557">
                              <w:rPr>
                                <w:rStyle w:val="A3"/>
                                <w:rFonts w:ascii="Gibson Light" w:hAnsi="Gibson Light"/>
                                <w:sz w:val="22"/>
                                <w:szCs w:val="22"/>
                              </w:rPr>
                              <w:t>Aanmeldingen moeten voorzien zijn</w:t>
                            </w:r>
                          </w:p>
                          <w:p w:rsidR="00D81557" w:rsidRPr="00D81557" w:rsidRDefault="00D81557" w:rsidP="00D81557">
                            <w:pPr>
                              <w:pStyle w:val="Pa0"/>
                              <w:rPr>
                                <w:rFonts w:ascii="Gibson Light" w:hAnsi="Gibson Light" w:cs="Gibson"/>
                                <w:color w:val="000000"/>
                                <w:sz w:val="22"/>
                                <w:szCs w:val="22"/>
                              </w:rPr>
                            </w:pPr>
                            <w:r w:rsidRPr="00D81557">
                              <w:rPr>
                                <w:rStyle w:val="A3"/>
                                <w:rFonts w:ascii="Gibson Light" w:hAnsi="Gibson Light"/>
                                <w:sz w:val="22"/>
                                <w:szCs w:val="22"/>
                              </w:rPr>
                              <w:t xml:space="preserve">van naam en eventueel BIG-nummer. </w:t>
                            </w:r>
                          </w:p>
                          <w:p w:rsidR="00D81557" w:rsidRPr="00D81557" w:rsidRDefault="00D81557" w:rsidP="00D81557">
                            <w:pPr>
                              <w:pStyle w:val="Pa0"/>
                              <w:rPr>
                                <w:rFonts w:ascii="Gibson Light" w:hAnsi="Gibson Light" w:cs="Gibson"/>
                                <w:color w:val="000000"/>
                                <w:sz w:val="22"/>
                                <w:szCs w:val="22"/>
                              </w:rPr>
                            </w:pPr>
                            <w:r w:rsidRPr="00D81557">
                              <w:rPr>
                                <w:rStyle w:val="A4"/>
                                <w:rFonts w:ascii="Gibson Light" w:hAnsi="Gibson Light"/>
                              </w:rPr>
                              <w:t xml:space="preserve">Dit referaat is bedoeld voor </w:t>
                            </w:r>
                          </w:p>
                          <w:p w:rsidR="00D81557" w:rsidRPr="00D81557" w:rsidRDefault="00D81557" w:rsidP="00D81557">
                            <w:pPr>
                              <w:pStyle w:val="Pa0"/>
                              <w:rPr>
                                <w:rFonts w:ascii="Gibson Light" w:hAnsi="Gibson Light" w:cs="Gibson"/>
                                <w:color w:val="000000"/>
                                <w:sz w:val="22"/>
                                <w:szCs w:val="22"/>
                              </w:rPr>
                            </w:pPr>
                            <w:r w:rsidRPr="00D81557">
                              <w:rPr>
                                <w:rStyle w:val="A4"/>
                                <w:rFonts w:ascii="Gibson Light" w:hAnsi="Gibson Light"/>
                              </w:rPr>
                              <w:t>academisch opgeleide professionals,</w:t>
                            </w:r>
                          </w:p>
                          <w:p w:rsidR="00D81557" w:rsidRPr="00D81557" w:rsidRDefault="00D81557" w:rsidP="00D81557">
                            <w:pPr>
                              <w:pStyle w:val="Pa0"/>
                              <w:rPr>
                                <w:rFonts w:ascii="Gibson Light" w:hAnsi="Gibson Light" w:cs="Gibson"/>
                                <w:color w:val="000000"/>
                                <w:sz w:val="22"/>
                                <w:szCs w:val="22"/>
                              </w:rPr>
                            </w:pPr>
                            <w:r w:rsidRPr="00D81557">
                              <w:rPr>
                                <w:rStyle w:val="A4"/>
                                <w:rFonts w:ascii="Gibson Light" w:hAnsi="Gibson Light"/>
                              </w:rPr>
                              <w:t>die zich willen laten informeren over</w:t>
                            </w:r>
                          </w:p>
                          <w:p w:rsidR="00D81557" w:rsidRPr="00D81557" w:rsidRDefault="00D81557" w:rsidP="00D81557">
                            <w:pPr>
                              <w:pStyle w:val="Pa0"/>
                              <w:rPr>
                                <w:rFonts w:ascii="Gibson Light" w:hAnsi="Gibson Light" w:cs="Gibson"/>
                                <w:color w:val="000000"/>
                                <w:sz w:val="22"/>
                                <w:szCs w:val="22"/>
                              </w:rPr>
                            </w:pPr>
                            <w:r w:rsidRPr="00D81557">
                              <w:rPr>
                                <w:rStyle w:val="A4"/>
                                <w:rFonts w:ascii="Gibson Light" w:hAnsi="Gibson Light"/>
                              </w:rPr>
                              <w:t>inhoudelijke ontwikkelingen binnen</w:t>
                            </w:r>
                          </w:p>
                          <w:p w:rsidR="00D13DD2" w:rsidRPr="00D81557" w:rsidRDefault="00D81557" w:rsidP="00D81557">
                            <w:pPr>
                              <w:rPr>
                                <w:rFonts w:ascii="Gibson Light" w:hAnsi="Gibson Light"/>
                              </w:rPr>
                            </w:pPr>
                            <w:r w:rsidRPr="00D81557">
                              <w:rPr>
                                <w:rStyle w:val="A4"/>
                                <w:rFonts w:ascii="Gibson Light" w:hAnsi="Gibson Light"/>
                              </w:rPr>
                              <w:t>de forensische psychiatrie.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F9A875" id="_x0000_s1027" type="#_x0000_t202" style="position:absolute;margin-left:273pt;margin-top:0;width:185.9pt;height:698.2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">
                <v:textbox>
                  <w:txbxContent>
                    <w:p w:rsidR="00D13DD2" w:rsidRPr="00D81557" w:rsidRDefault="00D13DD2" w:rsidP="00D13DD2">
                      <w:pPr>
                        <w:rPr>
                          <w:rFonts w:ascii="Gibson Light" w:hAnsi="Gibson Light"/>
                        </w:rPr>
                      </w:pPr>
                      <w:r w:rsidRPr="00D81557">
                        <w:rPr>
                          <w:rFonts w:ascii="Gibson Light" w:hAnsi="Gibson Light"/>
                        </w:rPr>
                        <w:t>Aantal karakters: 600 - 800</w:t>
                      </w:r>
                    </w:p>
                    <w:p w:rsidR="00D13DD2" w:rsidRPr="00D81557" w:rsidRDefault="00D13DD2" w:rsidP="00D13DD2">
                      <w:pPr>
                        <w:rPr>
                          <w:rFonts w:ascii="Gibson Light" w:hAnsi="Gibson Light"/>
                        </w:rPr>
                      </w:pPr>
                      <w:r w:rsidRPr="00D81557">
                        <w:rPr>
                          <w:rFonts w:ascii="Gibson Light" w:hAnsi="Gibson Light"/>
                        </w:rPr>
                        <w:t>Lettertype: Gibson Light</w:t>
                      </w:r>
                    </w:p>
                    <w:p w:rsidR="009D1AC4" w:rsidRDefault="009D1AC4" w:rsidP="009D1AC4">
                      <w:r w:rsidRPr="005F2460">
                        <w:rPr>
                          <w:i/>
                        </w:rPr>
                        <w:t>Annette Bonebakker</w:t>
                      </w:r>
                      <w:r>
                        <w:t xml:space="preserve"> is klinisch neuropsycholoog en boegbeeld bij het Centrum voor Dubbele Problematiek (</w:t>
                      </w:r>
                      <w:proofErr w:type="spellStart"/>
                      <w:r w:rsidRPr="00B42F5D">
                        <w:rPr>
                          <w:smallCaps/>
                        </w:rPr>
                        <w:t>cdp</w:t>
                      </w:r>
                      <w:proofErr w:type="spellEnd"/>
                      <w:r>
                        <w:t xml:space="preserve">), TOP GZZ. Tevens is zij praktijkopleider voor de </w:t>
                      </w:r>
                      <w:proofErr w:type="spellStart"/>
                      <w:r w:rsidRPr="005F2460">
                        <w:rPr>
                          <w:smallCaps/>
                        </w:rPr>
                        <w:t>gz</w:t>
                      </w:r>
                      <w:proofErr w:type="spellEnd"/>
                      <w:r>
                        <w:t>- en KNP opleiding en geeft zij supervisie. Haar klinische werk bestaat uit psychodiagnostiek en behandeling van dubbele-diagnosepatiënten. Haar expertise is neuropsychologie en persoonlijkheidsonderzoek en zij doet wetenschappelijk onderzoek naar dubbele diagnose behandeling. Zij studeerde in 1989 af in de psychologische functieleer aan de Rijksuniversiteit Leiden. In 1994 promoveerde zij op onbewuste geheugenprocessen tijdens algehele anesthesie, Vakgroep Medische Psychologie, Erasmus Universiteit Rotterdam. Zij is sinds 2009 lid van de Commissie van Toezicht van Penitentiair Psychiatrisch Centrum Scheveningen.</w:t>
                      </w:r>
                    </w:p>
                    <w:p w:rsidR="00D81557" w:rsidRPr="00D81557" w:rsidRDefault="00D81557" w:rsidP="00D81557">
                      <w:pPr>
                        <w:pStyle w:val="Pa0"/>
                        <w:rPr>
                          <w:rStyle w:val="A3"/>
                          <w:rFonts w:ascii="Gibson Light" w:hAnsi="Gibson Light"/>
                          <w:bCs/>
                          <w:sz w:val="22"/>
                          <w:szCs w:val="22"/>
                        </w:rPr>
                      </w:pPr>
                    </w:p>
                    <w:p w:rsidR="00D81557" w:rsidRPr="00D81557" w:rsidRDefault="00D81557" w:rsidP="00D81557">
                      <w:pPr>
                        <w:pStyle w:val="Pa0"/>
                        <w:rPr>
                          <w:rFonts w:ascii="Gibson Light" w:hAnsi="Gibson Light" w:cs="Gibson"/>
                          <w:color w:val="000000"/>
                          <w:sz w:val="22"/>
                          <w:szCs w:val="22"/>
                        </w:rPr>
                      </w:pPr>
                      <w:r w:rsidRPr="00D81557">
                        <w:rPr>
                          <w:rStyle w:val="A3"/>
                          <w:rFonts w:ascii="Gibson Light" w:hAnsi="Gibson Light"/>
                          <w:b/>
                          <w:bCs/>
                          <w:sz w:val="22"/>
                          <w:szCs w:val="22"/>
                        </w:rPr>
                        <w:t>Accreditatie</w:t>
                      </w:r>
                    </w:p>
                    <w:p w:rsidR="00D81557" w:rsidRPr="00D81557" w:rsidRDefault="00D81557" w:rsidP="00D81557">
                      <w:pPr>
                        <w:pStyle w:val="Pa0"/>
                        <w:rPr>
                          <w:rFonts w:ascii="Gibson Light" w:hAnsi="Gibson Light" w:cs="Gibson"/>
                          <w:color w:val="000000"/>
                          <w:sz w:val="22"/>
                          <w:szCs w:val="22"/>
                        </w:rPr>
                      </w:pPr>
                      <w:r w:rsidRPr="00D81557">
                        <w:rPr>
                          <w:rStyle w:val="A3"/>
                          <w:rFonts w:ascii="Gibson Light" w:hAnsi="Gibson Light"/>
                          <w:sz w:val="22"/>
                          <w:szCs w:val="22"/>
                        </w:rPr>
                        <w:t xml:space="preserve">Voor het referaat is accreditatie aangevraagd bij VGZPT en de </w:t>
                      </w:r>
                      <w:proofErr w:type="spellStart"/>
                      <w:r w:rsidRPr="00D81557">
                        <w:rPr>
                          <w:rStyle w:val="A3"/>
                          <w:rFonts w:ascii="Gibson Light" w:hAnsi="Gibson Light"/>
                          <w:sz w:val="22"/>
                          <w:szCs w:val="22"/>
                        </w:rPr>
                        <w:t>NVvP</w:t>
                      </w:r>
                      <w:proofErr w:type="spellEnd"/>
                      <w:r w:rsidRPr="00D81557">
                        <w:rPr>
                          <w:rStyle w:val="A3"/>
                          <w:rFonts w:ascii="Gibson Light" w:hAnsi="Gibson Light"/>
                          <w:sz w:val="22"/>
                          <w:szCs w:val="22"/>
                        </w:rPr>
                        <w:t xml:space="preserve"> (maximaal 2 punten per referaat). Na afloop wordt u geacht een evaluatieformulier in te vullen en in te leveren. </w:t>
                      </w:r>
                    </w:p>
                    <w:p w:rsidR="00D81557" w:rsidRPr="00D81557" w:rsidRDefault="00D81557" w:rsidP="00D81557">
                      <w:pPr>
                        <w:pStyle w:val="Pa0"/>
                        <w:rPr>
                          <w:rFonts w:ascii="Gibson Light" w:hAnsi="Gibson Light" w:cs="Gibson"/>
                          <w:color w:val="000000"/>
                          <w:sz w:val="22"/>
                          <w:szCs w:val="22"/>
                        </w:rPr>
                      </w:pPr>
                      <w:r w:rsidRPr="00D81557">
                        <w:rPr>
                          <w:rStyle w:val="A3"/>
                          <w:rFonts w:ascii="Gibson Light" w:hAnsi="Gibson Light"/>
                          <w:b/>
                          <w:bCs/>
                          <w:sz w:val="22"/>
                          <w:szCs w:val="22"/>
                        </w:rPr>
                        <w:t>Aanmelding</w:t>
                      </w:r>
                    </w:p>
                    <w:p w:rsidR="00D81557" w:rsidRPr="00D81557" w:rsidRDefault="00D81557" w:rsidP="00D81557">
                      <w:pPr>
                        <w:pStyle w:val="Pa0"/>
                        <w:rPr>
                          <w:rFonts w:ascii="Gibson Light" w:hAnsi="Gibson Light" w:cs="Gibson"/>
                          <w:color w:val="000000"/>
                          <w:sz w:val="22"/>
                          <w:szCs w:val="22"/>
                        </w:rPr>
                      </w:pPr>
                      <w:r w:rsidRPr="00D81557">
                        <w:rPr>
                          <w:rStyle w:val="A3"/>
                          <w:rFonts w:ascii="Gibson Light" w:hAnsi="Gibson Light"/>
                          <w:sz w:val="22"/>
                          <w:szCs w:val="22"/>
                        </w:rPr>
                        <w:t>U kunt zich per e-mail aanmelden bij</w:t>
                      </w:r>
                    </w:p>
                    <w:p w:rsidR="00D81557" w:rsidRPr="00D81557" w:rsidRDefault="00D81557" w:rsidP="00D81557">
                      <w:pPr>
                        <w:pStyle w:val="Pa0"/>
                        <w:rPr>
                          <w:rFonts w:ascii="Gibson Light" w:hAnsi="Gibson Light" w:cs="Gibson"/>
                          <w:color w:val="000000"/>
                          <w:sz w:val="22"/>
                          <w:szCs w:val="22"/>
                        </w:rPr>
                      </w:pPr>
                      <w:r w:rsidRPr="00D81557">
                        <w:rPr>
                          <w:rStyle w:val="A3"/>
                          <w:rFonts w:ascii="Gibson Light" w:hAnsi="Gibson Light"/>
                          <w:sz w:val="22"/>
                          <w:szCs w:val="22"/>
                        </w:rPr>
                        <w:t xml:space="preserve">Frida van der </w:t>
                      </w:r>
                      <w:proofErr w:type="spellStart"/>
                      <w:r w:rsidRPr="00D81557">
                        <w:rPr>
                          <w:rStyle w:val="A3"/>
                          <w:rFonts w:ascii="Gibson Light" w:hAnsi="Gibson Light"/>
                          <w:sz w:val="22"/>
                          <w:szCs w:val="22"/>
                        </w:rPr>
                        <w:t>Veeken</w:t>
                      </w:r>
                      <w:proofErr w:type="spellEnd"/>
                      <w:r w:rsidRPr="00D81557">
                        <w:rPr>
                          <w:rStyle w:val="A3"/>
                          <w:rFonts w:ascii="Gibson Light" w:hAnsi="Gibson Light"/>
                          <w:sz w:val="22"/>
                          <w:szCs w:val="22"/>
                        </w:rPr>
                        <w:t xml:space="preserve">, FPC de </w:t>
                      </w:r>
                      <w:proofErr w:type="spellStart"/>
                      <w:r w:rsidRPr="00D81557">
                        <w:rPr>
                          <w:rStyle w:val="A3"/>
                          <w:rFonts w:ascii="Gibson Light" w:hAnsi="Gibson Light"/>
                          <w:sz w:val="22"/>
                          <w:szCs w:val="22"/>
                        </w:rPr>
                        <w:t>Kijvelanden</w:t>
                      </w:r>
                      <w:proofErr w:type="spellEnd"/>
                      <w:r w:rsidRPr="00D81557">
                        <w:rPr>
                          <w:rStyle w:val="A3"/>
                          <w:rFonts w:ascii="Gibson Light" w:hAnsi="Gibson Light"/>
                          <w:sz w:val="22"/>
                          <w:szCs w:val="22"/>
                        </w:rPr>
                        <w:t xml:space="preserve"> via e-mail: FivoorW&amp;Bi@fivoor.nl</w:t>
                      </w:r>
                    </w:p>
                    <w:p w:rsidR="00D81557" w:rsidRPr="00D81557" w:rsidRDefault="00D81557" w:rsidP="00D81557">
                      <w:pPr>
                        <w:pStyle w:val="Pa0"/>
                        <w:rPr>
                          <w:rFonts w:ascii="Gibson Light" w:hAnsi="Gibson Light" w:cs="Gibson"/>
                          <w:color w:val="000000"/>
                          <w:sz w:val="22"/>
                          <w:szCs w:val="22"/>
                        </w:rPr>
                      </w:pPr>
                      <w:r w:rsidRPr="00D81557">
                        <w:rPr>
                          <w:rStyle w:val="A3"/>
                          <w:rFonts w:ascii="Gibson Light" w:hAnsi="Gibson Light"/>
                          <w:sz w:val="22"/>
                          <w:szCs w:val="22"/>
                        </w:rPr>
                        <w:t>Aanmeldingen moeten voorzien zijn</w:t>
                      </w:r>
                    </w:p>
                    <w:p w:rsidR="00D81557" w:rsidRPr="00D81557" w:rsidRDefault="00D81557" w:rsidP="00D81557">
                      <w:pPr>
                        <w:pStyle w:val="Pa0"/>
                        <w:rPr>
                          <w:rFonts w:ascii="Gibson Light" w:hAnsi="Gibson Light" w:cs="Gibson"/>
                          <w:color w:val="000000"/>
                          <w:sz w:val="22"/>
                          <w:szCs w:val="22"/>
                        </w:rPr>
                      </w:pPr>
                      <w:r w:rsidRPr="00D81557">
                        <w:rPr>
                          <w:rStyle w:val="A3"/>
                          <w:rFonts w:ascii="Gibson Light" w:hAnsi="Gibson Light"/>
                          <w:sz w:val="22"/>
                          <w:szCs w:val="22"/>
                        </w:rPr>
                        <w:t xml:space="preserve">van naam en eventueel BIG-nummer. </w:t>
                      </w:r>
                    </w:p>
                    <w:p w:rsidR="00D81557" w:rsidRPr="00D81557" w:rsidRDefault="00D81557" w:rsidP="00D81557">
                      <w:pPr>
                        <w:pStyle w:val="Pa0"/>
                        <w:rPr>
                          <w:rFonts w:ascii="Gibson Light" w:hAnsi="Gibson Light" w:cs="Gibson"/>
                          <w:color w:val="000000"/>
                          <w:sz w:val="22"/>
                          <w:szCs w:val="22"/>
                        </w:rPr>
                      </w:pPr>
                      <w:r w:rsidRPr="00D81557">
                        <w:rPr>
                          <w:rStyle w:val="A4"/>
                          <w:rFonts w:ascii="Gibson Light" w:hAnsi="Gibson Light"/>
                        </w:rPr>
                        <w:t xml:space="preserve">Dit referaat is bedoeld voor </w:t>
                      </w:r>
                    </w:p>
                    <w:p w:rsidR="00D81557" w:rsidRPr="00D81557" w:rsidRDefault="00D81557" w:rsidP="00D81557">
                      <w:pPr>
                        <w:pStyle w:val="Pa0"/>
                        <w:rPr>
                          <w:rFonts w:ascii="Gibson Light" w:hAnsi="Gibson Light" w:cs="Gibson"/>
                          <w:color w:val="000000"/>
                          <w:sz w:val="22"/>
                          <w:szCs w:val="22"/>
                        </w:rPr>
                      </w:pPr>
                      <w:r w:rsidRPr="00D81557">
                        <w:rPr>
                          <w:rStyle w:val="A4"/>
                          <w:rFonts w:ascii="Gibson Light" w:hAnsi="Gibson Light"/>
                        </w:rPr>
                        <w:t>academisch opgeleide professionals,</w:t>
                      </w:r>
                    </w:p>
                    <w:p w:rsidR="00D81557" w:rsidRPr="00D81557" w:rsidRDefault="00D81557" w:rsidP="00D81557">
                      <w:pPr>
                        <w:pStyle w:val="Pa0"/>
                        <w:rPr>
                          <w:rFonts w:ascii="Gibson Light" w:hAnsi="Gibson Light" w:cs="Gibson"/>
                          <w:color w:val="000000"/>
                          <w:sz w:val="22"/>
                          <w:szCs w:val="22"/>
                        </w:rPr>
                      </w:pPr>
                      <w:r w:rsidRPr="00D81557">
                        <w:rPr>
                          <w:rStyle w:val="A4"/>
                          <w:rFonts w:ascii="Gibson Light" w:hAnsi="Gibson Light"/>
                        </w:rPr>
                        <w:t>die zich willen laten informeren over</w:t>
                      </w:r>
                    </w:p>
                    <w:p w:rsidR="00D81557" w:rsidRPr="00D81557" w:rsidRDefault="00D81557" w:rsidP="00D81557">
                      <w:pPr>
                        <w:pStyle w:val="Pa0"/>
                        <w:rPr>
                          <w:rFonts w:ascii="Gibson Light" w:hAnsi="Gibson Light" w:cs="Gibson"/>
                          <w:color w:val="000000"/>
                          <w:sz w:val="22"/>
                          <w:szCs w:val="22"/>
                        </w:rPr>
                      </w:pPr>
                      <w:r w:rsidRPr="00D81557">
                        <w:rPr>
                          <w:rStyle w:val="A4"/>
                          <w:rFonts w:ascii="Gibson Light" w:hAnsi="Gibson Light"/>
                        </w:rPr>
                        <w:t>inhoudelijke ontwikkelingen binnen</w:t>
                      </w:r>
                    </w:p>
                    <w:p w:rsidR="00D13DD2" w:rsidRPr="00D81557" w:rsidRDefault="00D81557" w:rsidP="00D81557">
                      <w:pPr>
                        <w:rPr>
                          <w:rFonts w:ascii="Gibson Light" w:hAnsi="Gibson Light"/>
                        </w:rPr>
                      </w:pPr>
                      <w:r w:rsidRPr="00D81557">
                        <w:rPr>
                          <w:rStyle w:val="A4"/>
                          <w:rFonts w:ascii="Gibson Light" w:hAnsi="Gibson Light"/>
                        </w:rPr>
                        <w:t>de forensische psychiatrie.</w:t>
                      </w:r>
                    </w:p>
                  </w:txbxContent>
                </v:textbox>
                <w10:wrap type="square" anchorx="margin"/>
              </v:shape>
            </w:pict>
          </mc:Fallback>
        </mc:AlternateContent>
      </w:r>
      <w:r w:rsidR="00D13DD2">
        <w:tab/>
      </w:r>
      <w:bookmarkStart w:id="0" w:name="_GoBack"/>
      <w:bookmarkEnd w:id="0"/>
    </w:p>
    <w:sectPr w:rsidR="00C37BFA" w:rsidRPr="00DE6B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DF2" w:rsidRDefault="00636DF2" w:rsidP="0099767B">
      <w:pPr>
        <w:spacing w:after="0" w:line="240" w:lineRule="auto"/>
      </w:pPr>
      <w:r>
        <w:separator/>
      </w:r>
    </w:p>
  </w:endnote>
  <w:endnote w:type="continuationSeparator" w:id="0">
    <w:p w:rsidR="00636DF2" w:rsidRDefault="00636DF2" w:rsidP="0099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bson">
    <w:altName w:val="Gibson"/>
    <w:panose1 w:val="020B0604020202020204"/>
    <w:charset w:val="00"/>
    <w:family w:val="modern"/>
    <w:notTrueType/>
    <w:pitch w:val="variable"/>
    <w:sig w:usb0="A000002F" w:usb1="5000004A" w:usb2="00000000" w:usb3="00000000" w:csb0="00000093" w:csb1="00000000"/>
  </w:font>
  <w:font w:name="Gibson Light">
    <w:altName w:val="Times New Roman"/>
    <w:panose1 w:val="020B0604020202020204"/>
    <w:charset w:val="00"/>
    <w:family w:val="modern"/>
    <w:notTrueType/>
    <w:pitch w:val="variable"/>
    <w:sig w:usb0="00000001"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DF2" w:rsidRDefault="00636DF2" w:rsidP="0099767B">
      <w:pPr>
        <w:spacing w:after="0" w:line="240" w:lineRule="auto"/>
      </w:pPr>
      <w:r>
        <w:separator/>
      </w:r>
    </w:p>
  </w:footnote>
  <w:footnote w:type="continuationSeparator" w:id="0">
    <w:p w:rsidR="00636DF2" w:rsidRDefault="00636DF2" w:rsidP="00997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7B"/>
    <w:rsid w:val="00460F1A"/>
    <w:rsid w:val="00636DF2"/>
    <w:rsid w:val="006A6510"/>
    <w:rsid w:val="0099767B"/>
    <w:rsid w:val="009D1AC4"/>
    <w:rsid w:val="00C37BFA"/>
    <w:rsid w:val="00C538B5"/>
    <w:rsid w:val="00D13DD2"/>
    <w:rsid w:val="00D81557"/>
    <w:rsid w:val="00DE6B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D5CF4"/>
  <w15:docId w15:val="{47F72F85-4D2B-114D-B92F-F65EFF8B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3D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767B"/>
    <w:rPr>
      <w:color w:val="0563C1" w:themeColor="hyperlink"/>
      <w:u w:val="single"/>
    </w:rPr>
  </w:style>
  <w:style w:type="paragraph" w:customStyle="1" w:styleId="Pa0">
    <w:name w:val="Pa0"/>
    <w:basedOn w:val="Standaard"/>
    <w:next w:val="Standaard"/>
    <w:uiPriority w:val="99"/>
    <w:rsid w:val="00D81557"/>
    <w:pPr>
      <w:autoSpaceDE w:val="0"/>
      <w:autoSpaceDN w:val="0"/>
      <w:adjustRightInd w:val="0"/>
      <w:spacing w:after="0" w:line="241" w:lineRule="atLeast"/>
    </w:pPr>
    <w:rPr>
      <w:rFonts w:ascii="Gibson" w:hAnsi="Gibson"/>
      <w:sz w:val="24"/>
      <w:szCs w:val="24"/>
    </w:rPr>
  </w:style>
  <w:style w:type="character" w:customStyle="1" w:styleId="A3">
    <w:name w:val="A3"/>
    <w:uiPriority w:val="99"/>
    <w:rsid w:val="00D81557"/>
    <w:rPr>
      <w:rFonts w:cs="Gibson"/>
      <w:color w:val="000000"/>
      <w:sz w:val="15"/>
      <w:szCs w:val="15"/>
    </w:rPr>
  </w:style>
  <w:style w:type="character" w:customStyle="1" w:styleId="A4">
    <w:name w:val="A4"/>
    <w:uiPriority w:val="99"/>
    <w:rsid w:val="00D81557"/>
    <w:rPr>
      <w:rFonts w:cs="Gibson"/>
      <w:i/>
      <w:iCs/>
      <w:color w:val="000000"/>
      <w:sz w:val="22"/>
      <w:szCs w:val="22"/>
    </w:rPr>
  </w:style>
  <w:style w:type="paragraph" w:customStyle="1" w:styleId="normaal">
    <w:name w:val="normaal"/>
    <w:basedOn w:val="Standaard"/>
    <w:next w:val="Standaard"/>
    <w:link w:val="normaalChar"/>
    <w:qFormat/>
    <w:rsid w:val="009D1AC4"/>
    <w:pPr>
      <w:spacing w:after="0" w:line="240" w:lineRule="auto"/>
    </w:pPr>
    <w:rPr>
      <w:rFonts w:ascii="Times New Roman" w:eastAsia="Times New Roman" w:hAnsi="Times New Roman" w:cs="Times New Roman"/>
      <w:szCs w:val="20"/>
      <w:lang w:val="x-none" w:eastAsia="x-none"/>
    </w:rPr>
  </w:style>
  <w:style w:type="character" w:customStyle="1" w:styleId="literatuurnoot">
    <w:name w:val="literatuurnoot"/>
    <w:uiPriority w:val="1"/>
    <w:rsid w:val="009D1AC4"/>
    <w:rPr>
      <w:color w:val="FF0000"/>
      <w:vertAlign w:val="superscript"/>
    </w:rPr>
  </w:style>
  <w:style w:type="character" w:customStyle="1" w:styleId="normaalChar">
    <w:name w:val="normaal Char"/>
    <w:link w:val="normaal"/>
    <w:rsid w:val="009D1AC4"/>
    <w:rPr>
      <w:rFonts w:ascii="Times New Roman" w:eastAsia="Times New Roman"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FPCR</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Merel de Sprong</dc:creator>
  <cp:lastModifiedBy>Deni Tressova</cp:lastModifiedBy>
  <cp:revision>2</cp:revision>
  <dcterms:created xsi:type="dcterms:W3CDTF">2019-07-08T14:49:00Z</dcterms:created>
  <dcterms:modified xsi:type="dcterms:W3CDTF">2019-07-08T14:49:00Z</dcterms:modified>
</cp:coreProperties>
</file>